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outlineLvl w:val="1"/>
        <w:rPr>
          <w:rFonts w:ascii="微软雅黑" w:hAnsi="微软雅黑"/>
          <w:b/>
          <w:bCs/>
          <w:color w:val="333333"/>
          <w:kern w:val="36"/>
          <w:sz w:val="36"/>
          <w:szCs w:val="36"/>
        </w:rPr>
      </w:pPr>
      <w:r>
        <w:rPr>
          <w:rFonts w:ascii="微软雅黑" w:hAnsi="微软雅黑"/>
          <w:b/>
          <w:bCs/>
          <w:color w:val="333333"/>
          <w:kern w:val="36"/>
          <w:sz w:val="36"/>
          <w:szCs w:val="36"/>
        </w:rPr>
        <w:t>202</w:t>
      </w:r>
      <w:r>
        <w:rPr>
          <w:rFonts w:hint="eastAsia" w:ascii="微软雅黑" w:hAnsi="微软雅黑"/>
          <w:b/>
          <w:bCs/>
          <w:color w:val="333333"/>
          <w:kern w:val="36"/>
          <w:sz w:val="36"/>
          <w:szCs w:val="36"/>
        </w:rPr>
        <w:t>1</w:t>
      </w:r>
      <w:r>
        <w:rPr>
          <w:rFonts w:ascii="微软雅黑" w:hAnsi="微软雅黑"/>
          <w:b/>
          <w:bCs/>
          <w:color w:val="333333"/>
          <w:kern w:val="36"/>
          <w:sz w:val="36"/>
          <w:szCs w:val="36"/>
        </w:rPr>
        <w:t>年“三公”经费预算编制情况说明</w:t>
      </w:r>
    </w:p>
    <w:p/>
    <w:p>
      <w:pPr>
        <w:pStyle w:val="4"/>
        <w:spacing w:before="0" w:beforeAutospacing="0" w:after="0" w:afterAutospacing="0"/>
        <w:ind w:firstLine="469"/>
        <w:jc w:val="both"/>
        <w:rPr>
          <w:rFonts w:hint="eastAsia" w:ascii="仿宋_GB2312" w:hAnsi="&amp;quot" w:eastAsia="仿宋_GB2312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2021年“三公”经费预算340万元，比2020年预算减少13万元,下降4%。其中：公务接待费120万元，比2020年预算减少7万元，下降6%；公务用车购置及运行费220万元，主要是公务用车运行维护费预算220万元，比2020年预算减少6万元，下降3%。</w:t>
      </w:r>
    </w:p>
    <w:p>
      <w:pPr>
        <w:pStyle w:val="4"/>
        <w:spacing w:before="0" w:beforeAutospacing="0" w:after="0" w:afterAutospacing="0"/>
        <w:ind w:firstLine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总的情况来看，“三公”经费预算呈逐年下降趋势，主要是财政部门严格执行中央</w:t>
      </w:r>
      <w:bookmarkStart w:id="0" w:name="_GoBack"/>
      <w:bookmarkEnd w:id="0"/>
      <w:r>
        <w:rPr>
          <w:rFonts w:hint="eastAsia" w:ascii="仿宋_GB2312" w:hAnsi="&amp;quot" w:eastAsia="仿宋_GB2312"/>
          <w:sz w:val="32"/>
          <w:szCs w:val="32"/>
        </w:rPr>
        <w:t>八项规定、《党政机关厉行节约反对浪费条例》等规章制度，落实“过紧日子”的思想，严格控制党政机关“三公”经费预算，在预算编制时，按照一定压缩比例提前下达各部门“三公”经费控制数。其中：公务接待费、公务用车运行维护费统一按照6%、3%压缩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MTMzNjg3M2U1YThmNTlhOTdmYWE3YzA2NDRjYTMifQ=="/>
  </w:docVars>
  <w:rsids>
    <w:rsidRoot w:val="00E51357"/>
    <w:rsid w:val="000714AD"/>
    <w:rsid w:val="002970D4"/>
    <w:rsid w:val="004E0D06"/>
    <w:rsid w:val="005C3642"/>
    <w:rsid w:val="006F4863"/>
    <w:rsid w:val="007E586B"/>
    <w:rsid w:val="00C552FF"/>
    <w:rsid w:val="00CB4418"/>
    <w:rsid w:val="00E51357"/>
    <w:rsid w:val="00EE070E"/>
    <w:rsid w:val="78630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郧西县财政局预算股</Company>
  <Pages>1</Pages>
  <Words>273</Words>
  <Characters>302</Characters>
  <Lines>2</Lines>
  <Paragraphs>1</Paragraphs>
  <TotalTime>13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2020-03-17T09:31:00Z</dcterms:created>
  <dc:creator>蒋小松</dc:creator>
  <cp:lastModifiedBy>Lenovo</cp:lastModifiedBy>
  <cp:lastPrinted>2021-03-11T09:31:00Z</cp:lastPrinted>
  <dcterms:modified xsi:type="dcterms:W3CDTF">2023-09-06T00:56:29Z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CACF9D3D7EB14C278E760AD79DE91DCB_13</vt:lpwstr>
  </property>
</Properties>
</file>