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outlineLvl w:val="1"/>
        <w:rPr>
          <w:rFonts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</w:rPr>
        <w:t>郧西县202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  <w:lang w:eastAsia="zh-CN"/>
        </w:rPr>
        <w:t>政府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36"/>
          <w:sz w:val="36"/>
          <w:szCs w:val="36"/>
        </w:rPr>
        <w:t>债务情况说明</w:t>
      </w:r>
    </w:p>
    <w:p>
      <w:pPr>
        <w:rPr>
          <w:rFonts w:ascii="Times New Roman" w:hAnsi="Times New Roman" w:eastAsia="仿宋_GB2312" w:cs="Times New Roman"/>
          <w:sz w:val="23"/>
          <w:szCs w:val="23"/>
        </w:rPr>
      </w:pPr>
    </w:p>
    <w:p>
      <w:pPr>
        <w:adjustRightInd w:val="0"/>
        <w:snapToGrid w:val="0"/>
        <w:spacing w:line="590" w:lineRule="exact"/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2022年，</w:t>
      </w:r>
      <w:r>
        <w:rPr>
          <w:rFonts w:ascii="Times New Roman" w:hAnsi="Times New Roman" w:eastAsia="仿宋_GB2312" w:cs="Times New Roman"/>
          <w:sz w:val="32"/>
          <w:szCs w:val="32"/>
        </w:rPr>
        <w:t>省下达我县政府债务限额</w:t>
      </w:r>
      <w:r>
        <w:rPr>
          <w:rFonts w:eastAsia="仿宋_GB2312"/>
          <w:sz w:val="32"/>
        </w:rPr>
        <w:t>665453</w:t>
      </w:r>
      <w:r>
        <w:rPr>
          <w:rFonts w:ascii="Times New Roman" w:hAnsi="Times New Roman" w:eastAsia="仿宋_GB2312" w:cs="Times New Roman"/>
          <w:sz w:val="32"/>
          <w:szCs w:val="32"/>
        </w:rPr>
        <w:t>亿元，其中：</w:t>
      </w:r>
      <w:r>
        <w:rPr>
          <w:rFonts w:eastAsia="仿宋_GB2312"/>
          <w:sz w:val="32"/>
        </w:rPr>
        <w:t>一般债务限额372422万元，专项债务限额293031万元。</w:t>
      </w:r>
      <w:r>
        <w:rPr>
          <w:rFonts w:ascii="Times New Roman" w:hAnsi="Times New Roman" w:eastAsia="仿宋_GB2312" w:cs="Times New Roman"/>
          <w:sz w:val="32"/>
          <w:szCs w:val="32"/>
        </w:rPr>
        <w:t>截至202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年底，</w:t>
      </w:r>
      <w:r>
        <w:rPr>
          <w:rFonts w:eastAsia="仿宋_GB2312"/>
          <w:sz w:val="32"/>
        </w:rPr>
        <w:t>我县政府债务余额636961万元，其中一般债务343930万元，专项债务293031万元。</w:t>
      </w:r>
      <w:r>
        <w:rPr>
          <w:rFonts w:ascii="Times New Roman" w:hAnsi="Times New Roman" w:eastAsia="仿宋_GB2312" w:cs="Times New Roman"/>
          <w:sz w:val="32"/>
          <w:szCs w:val="32"/>
        </w:rPr>
        <w:t>我县政府债务余额控制在省下达限额以内。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2022年，省财政厅转贷我县地方政府债券资金156310万元，其中：</w:t>
      </w:r>
    </w:p>
    <w:p>
      <w:pPr>
        <w:adjustRightInd w:val="0"/>
        <w:snapToGrid w:val="0"/>
        <w:spacing w:line="590" w:lineRule="exact"/>
        <w:ind w:left="0" w:firstLine="640" w:firstLineChars="200"/>
        <w:rPr>
          <w:rStyle w:val="11"/>
          <w:rFonts w:eastAsia="仿宋_GB2312"/>
          <w:sz w:val="32"/>
          <w:szCs w:val="32"/>
        </w:rPr>
      </w:pPr>
      <w:r>
        <w:rPr>
          <w:rFonts w:eastAsia="仿宋_GB2312"/>
          <w:sz w:val="32"/>
        </w:rPr>
        <w:t>新增地方政府一般债券22156万元，</w:t>
      </w:r>
      <w:r>
        <w:rPr>
          <w:rStyle w:val="11"/>
          <w:rFonts w:eastAsia="仿宋_GB2312"/>
          <w:sz w:val="32"/>
          <w:szCs w:val="32"/>
        </w:rPr>
        <w:t>主要用于人才园科技园基础设施建设项目2000万元、城镇基础设施建设项目4002万元、天河流域乡村振兴基础设施建设项目800万元、王家坪村乡村振兴示范区项目3000万元、国土空间规划和国土综合治理项目1000万元、通用机场项目1500万元、教育基础设施建设项目(上津中学、观音中学)3000万元、乡村振兴基础设施建设项目2500万元、农村环境综合整治项目2606万元、疫情防控项目1</w:t>
      </w:r>
      <w:r>
        <w:rPr>
          <w:rStyle w:val="11"/>
          <w:rFonts w:hint="eastAsia" w:eastAsia="仿宋_GB2312"/>
          <w:sz w:val="32"/>
          <w:szCs w:val="32"/>
        </w:rPr>
        <w:t>748</w:t>
      </w:r>
      <w:r>
        <w:rPr>
          <w:rStyle w:val="11"/>
          <w:rFonts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Style w:val="11"/>
          <w:rFonts w:eastAsia="仿宋_GB2312"/>
          <w:sz w:val="32"/>
          <w:szCs w:val="32"/>
        </w:rPr>
      </w:pPr>
      <w:r>
        <w:rPr>
          <w:rFonts w:eastAsia="仿宋_GB2312"/>
          <w:sz w:val="32"/>
        </w:rPr>
        <w:t>新增地方政府专项债券109600万元，</w:t>
      </w:r>
      <w:r>
        <w:rPr>
          <w:rStyle w:val="11"/>
          <w:rFonts w:eastAsia="仿宋_GB2312"/>
          <w:sz w:val="32"/>
          <w:szCs w:val="32"/>
        </w:rPr>
        <w:t>主要用于新建西安至十堰高速铁路项目18900万元、夹河镇“水电新城”建设项目5000万元、郧西县集镇水厂巩固提升工程12000万元、郧西县职业技术学校建设项目5000万元、郧西县天河创业园基础设施建设项目20000万元、郧西县天河智慧工业园区拓园扩容项目4000万元、</w:t>
      </w:r>
      <w:r>
        <w:rPr>
          <w:rFonts w:eastAsia="仿宋_GB2312"/>
          <w:sz w:val="32"/>
          <w:szCs w:val="32"/>
        </w:rPr>
        <w:t>郧西县人民医院传染病区建设项目2000万元、郧西县人民医院东院区内科大楼建设项目7800万元、郧西县老城区污水管网改造及污水处理工程7000万元、郧西县高标准农田建设项目3000万元、郧西县中医院西院区住院楼项目2000万元、郧西县关防乡中心幼儿园项目1000万元、郧西县城关镇校场坡幼儿园项目1500万元、郧西县2018年第一批城中村棚户区改造项目10400万元、锂离子产业园项目10000万元</w:t>
      </w:r>
      <w:r>
        <w:rPr>
          <w:rStyle w:val="11"/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590" w:lineRule="exact"/>
        <w:ind w:left="0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再融资债券24554万元，主要用于偿还到期地方政府债券。</w:t>
      </w:r>
    </w:p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9C"/>
    <w:rsid w:val="000F2E9C"/>
    <w:rsid w:val="00202E85"/>
    <w:rsid w:val="0027662F"/>
    <w:rsid w:val="002970D4"/>
    <w:rsid w:val="002D6CAB"/>
    <w:rsid w:val="00395BB8"/>
    <w:rsid w:val="003E79A5"/>
    <w:rsid w:val="00425FD2"/>
    <w:rsid w:val="00575457"/>
    <w:rsid w:val="008246D5"/>
    <w:rsid w:val="008561CC"/>
    <w:rsid w:val="008E23A6"/>
    <w:rsid w:val="009A1D0A"/>
    <w:rsid w:val="009A2AB6"/>
    <w:rsid w:val="00A50AAF"/>
    <w:rsid w:val="00A80237"/>
    <w:rsid w:val="00AE74EB"/>
    <w:rsid w:val="00B15482"/>
    <w:rsid w:val="00CC2440"/>
    <w:rsid w:val="00D1061B"/>
    <w:rsid w:val="00F71069"/>
    <w:rsid w:val="4F106969"/>
    <w:rsid w:val="6884299E"/>
    <w:rsid w:val="74052F45"/>
    <w:rsid w:val="7C4A1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3"/>
    <w:next w:val="3"/>
    <w:qFormat/>
    <w:uiPriority w:val="0"/>
    <w:pPr>
      <w:shd w:val="clear" w:color="auto" w:fill="000080"/>
    </w:pPr>
    <w:rPr>
      <w:rFonts w:ascii="Calibri" w:hAnsi="Calibri" w:eastAsia="宋体" w:cs="Times New Roman"/>
      <w:szCs w:val="24"/>
    </w:rPr>
  </w:style>
  <w:style w:type="paragraph" w:styleId="3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rFonts w:cs="Calibri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cs="Calibri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郧西县财政局预算股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2020-03-17T09:42:00Z</dcterms:created>
  <dc:creator>蒋小松</dc:creator>
  <cp:lastModifiedBy>jxs</cp:lastModifiedBy>
  <cp:lastPrinted>2021-03-11T09:31:00Z</cp:lastPrinted>
  <dcterms:modified xsi:type="dcterms:W3CDTF">2023-03-03T07:17:53Z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