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3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32"/>
          <w:szCs w:val="32"/>
        </w:rPr>
        <w:t>郧西县1至</w:t>
      </w:r>
      <w:r>
        <w:rPr>
          <w:rFonts w:hint="eastAsia" w:ascii="Times New Roman" w:hAnsi="Times New Roman" w:eastAsia="方正小标宋简体" w:cs="Times New Roman"/>
          <w:spacing w:val="0"/>
          <w:kern w:val="2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32"/>
          <w:szCs w:val="32"/>
        </w:rPr>
        <w:t>月经济指标运行</w:t>
      </w:r>
      <w:r>
        <w:rPr>
          <w:rFonts w:hint="eastAsia" w:ascii="Times New Roman" w:hAnsi="Times New Roman" w:eastAsia="方正小标宋简体" w:cs="Times New Roman"/>
          <w:spacing w:val="0"/>
          <w:kern w:val="2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（一）工业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1-12月，全县实现规模以上工业总产值56.48亿元，同比增长43.2%，排名全市第3。其中，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规上农产品加工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产值27.34亿元，同比增长45.6%，排名全市第1。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1-12月，规模以上工业现价增加值14.68亿元，同比增长28.1%，排名全市第3。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（二）投资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月，全县固定资产投资同比增长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26.9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%，排名全市第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。其中，民间投资同比增长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60.0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%，工业投资同比增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长33.3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%，工业技改投资同比增速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86.3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%，基础设施投资同比增长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84.0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%，制造业投资同比增长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54.3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（三）消费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月，全县实现社会消费品零售总额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122.76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亿元，同比增长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3.4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%，排名全市第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。城镇消费品零售额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105.57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亿元，同比增长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4.0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%；乡村消费品零售额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17.19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亿元，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下降0.2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%。其中，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限额以上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批发业增长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40.0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%，零售业增长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68.2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%，住宿业增长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83.9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%，餐饮业增长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62.1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jc w:val="center"/>
        <w:textAlignment w:val="auto"/>
        <w:rPr>
          <w:rFonts w:hint="default" w:ascii="Times New Roman" w:hAnsi="Times New Roman" w:eastAsia="黑体" w:cs="Times New Roman"/>
          <w:color w:val="FF0000"/>
          <w:spacing w:val="0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（四）财政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1-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月，全县财政总收入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7.44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亿元，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可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比增速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25.9%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。实现地方一般公共预算收入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5.36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亿元，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可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比增长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15.7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%，排名全市第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。其中，税收收入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3.97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亿元，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可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比增长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31.4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%，排名全市第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（五）金融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截至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月末，全县金融机构本外币各项存款余额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305.66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亿元，同比增长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9.6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%，比年初增加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26.82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亿元。其中，住户存款2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52.45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亿元，同比增长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15.6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%，比年初增加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33.95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亿元。各项贷款余额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165.70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亿元，同比增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长21.7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%，比年初增加</w:t>
      </w:r>
      <w:r>
        <w:rPr>
          <w:rFonts w:hint="eastAsia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29.57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4"/>
          <w:szCs w:val="24"/>
          <w:lang w:val="en-US" w:eastAsia="zh-CN" w:bidi="ar-SA"/>
        </w:rPr>
        <w:t>亿元。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FmM2ZiMzllMDI0ZWYyNjI5NmFiZDdhYTJkOTMifQ=="/>
  </w:docVars>
  <w:rsids>
    <w:rsidRoot w:val="51E87123"/>
    <w:rsid w:val="0C73142F"/>
    <w:rsid w:val="1DB30049"/>
    <w:rsid w:val="22EE2EB8"/>
    <w:rsid w:val="2BA61037"/>
    <w:rsid w:val="38E96A83"/>
    <w:rsid w:val="47A22140"/>
    <w:rsid w:val="4BD33BCC"/>
    <w:rsid w:val="4E7C53CE"/>
    <w:rsid w:val="51E87123"/>
    <w:rsid w:val="558050B5"/>
    <w:rsid w:val="630E7457"/>
    <w:rsid w:val="71026A4F"/>
    <w:rsid w:val="7AD9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640</Characters>
  <Lines>0</Lines>
  <Paragraphs>0</Paragraphs>
  <TotalTime>1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2022-03-29T03:10:00Z</dcterms:created>
  <dc:creator>DELL</dc:creator>
  <cp:lastModifiedBy>DELL</cp:lastModifiedBy>
  <dcterms:modified xsi:type="dcterms:W3CDTF">2023-02-14T08:07:57Z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10B202EBF71648088E814DF1823B9272</vt:lpwstr>
  </property>
</Properties>
</file>